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77777777" w:rsidR="007C7FEB" w:rsidRPr="00135FFB" w:rsidRDefault="0000193A" w:rsidP="00135FFB">
      <w:pPr>
        <w:pStyle w:val="Ttulo"/>
      </w:pPr>
      <w:r>
        <w:t>Numerical analysis of the rock deformation in twin tunnels with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77777777" w:rsidR="00D04CA2" w:rsidRDefault="00D04CA2" w:rsidP="00D04CA2">
      <w:pPr>
        <w:pStyle w:val="Abstract"/>
      </w:pPr>
      <w:bookmarkStart w:id="0" w:name="introduction"/>
      <w:r w:rsidRPr="00D04CA2">
        <w:t xml:space="preserve">Resorting to a three-dimensional finite element framework, the paper investigates the instantaneous and long-term deformation in twin tunnels with connecting transverse gallery. </w:t>
      </w:r>
      <w:proofErr w:type="gramStart"/>
      <w:r w:rsidRPr="00D04CA2">
        <w:t>Particular emphasis</w:t>
      </w:r>
      <w:proofErr w:type="gramEnd"/>
      <w:r w:rsidRPr="00D04CA2">
        <w:t xml:space="preserve"> is dedicated to the assessment of combined effects induced by time-dependent behavior of the material constituents, twin tunnels proximity and tunnel junctions on the convergence profile. At the material level, the rock mechanical behavior is formulated within the context of coupled plasticity–</w:t>
      </w:r>
      <w:proofErr w:type="spellStart"/>
      <w:r w:rsidRPr="00D04CA2">
        <w:t>viscoplasticity</w:t>
      </w:r>
      <w:proofErr w:type="spellEnd"/>
      <w:r w:rsidRPr="00D04CA2">
        <w:t xml:space="preserve">, which proves relevant for modeling and simulation of tunnel deformation in deep clayey rocks.  As regards the time-dependent properties of the lining concrete, the concrete creep deformation is addressed by means of an aging viscoelastic model relying on the Bažant and </w:t>
      </w:r>
      <w:proofErr w:type="spellStart"/>
      <w:r w:rsidRPr="00D04CA2">
        <w:t>Prasannan</w:t>
      </w:r>
      <w:proofErr w:type="spellEnd"/>
      <w:r w:rsidRPr="00D04CA2">
        <w:t xml:space="preserve">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framework, providing preliminary insight into the multiple interactions arising from twin tunnel proximity, intersecting transverse gallery and lining support. The numerical simulations have notably emphasized the deformation anisotropy induced by tunnels </w:t>
      </w:r>
      <w:proofErr w:type="gramStart"/>
      <w:r w:rsidRPr="00D04CA2">
        <w:t>proximity,</w:t>
      </w:r>
      <w:proofErr w:type="gramEnd"/>
      <w:r w:rsidRPr="00D04CA2">
        <w:t xml:space="preserve">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w:t>
      </w:r>
      <w:proofErr w:type="gramStart"/>
      <w:r w:rsidR="00AA6243" w:rsidRPr="00AA6243">
        <w:rPr>
          <w:color w:val="FF0000"/>
        </w:rPr>
        <w:t>2015</w:t>
      </w:r>
      <w:r w:rsidRPr="00AA6243">
        <w:rPr>
          <w:color w:val="FF0000"/>
        </w:rPr>
        <w:t xml:space="preserve"> </w:t>
      </w:r>
      <w:r>
        <w:t>,</w:t>
      </w:r>
      <w:proofErr w:type="gramEnd"/>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w:t>
      </w:r>
      <w:proofErr w:type="gramStart"/>
      <w:r>
        <w:t>the construction</w:t>
      </w:r>
      <w:proofErr w:type="gramEnd"/>
      <w:r>
        <w:t xml:space="preserve">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xml:space="preserve">). The finite element modeling developed in this paper can be viewed as </w:t>
      </w:r>
      <w:proofErr w:type="gramStart"/>
      <w:r>
        <w:t>specifically</w:t>
      </w:r>
      <w:proofErr w:type="gramEnd"/>
      <w:r>
        <w:t xml:space="preserve"> devised tool for addressing the three-dimensional interaction induced by the construction process of </w:t>
      </w:r>
      <w:proofErr w:type="gramStart"/>
      <w:r>
        <w:t>closely-spaced</w:t>
      </w:r>
      <w:proofErr w:type="gramEnd"/>
      <w:r>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Default="00F227D2" w:rsidP="00FE5338">
      <w:pPr>
        <w:pStyle w:val="Ttulo1"/>
      </w:pPr>
      <w:bookmarkStart w:id="1" w:name="section_assumptions"/>
      <w:bookmarkEnd w:id="0"/>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 xml:space="preserve">Aguiar and </w:t>
      </w:r>
      <w:proofErr w:type="spellStart"/>
      <w:r w:rsidR="000E4BA5" w:rsidRPr="000E4BA5">
        <w:rPr>
          <w:color w:val="FF0000"/>
        </w:rPr>
        <w:t>Maghous</w:t>
      </w:r>
      <w:proofErr w:type="spellEnd"/>
      <w:r w:rsidR="000E4BA5" w:rsidRPr="000E4BA5">
        <w:rPr>
          <w:color w:val="FF0000"/>
        </w:rPr>
        <w:t xml:space="preserve"> 2023</w:t>
      </w:r>
      <w:r>
        <w:t>). Clearly enough, the framework of continuum modeling adopted in the paper would reveal questionable when the rock mass is cut by a few macroscale fracture joints.</w:t>
      </w:r>
    </w:p>
    <w:p w14:paraId="6E7D1ECB" w14:textId="77777777" w:rsidR="007C7FEB" w:rsidRDefault="0000193A" w:rsidP="00B432B0">
      <w:pPr>
        <w:pStyle w:val="Alinea"/>
      </w:pPr>
      <w:r>
        <w:lastRenderedPageBreak/>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77777777" w:rsidR="007C7FEB" w:rsidRDefault="0000193A" w:rsidP="00B432B0">
      <w:pPr>
        <w:pStyle w:val="Alinea"/>
      </w:pPr>
      <w:r>
        <w:t>The simulation excavation processes are curried out assuming a constant tunnel advancement rate (i.e., constant excavation speed), together with a constant thickness of concrete lining.</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w:t>
      </w:r>
      <w:proofErr w:type="gramStart"/>
      <w:r>
        <w:t>shall</w:t>
      </w:r>
      <w:proofErr w:type="gramEnd"/>
      <w:r>
        <w:t xml:space="preserve"> not be considered in the numerical analysis.</w:t>
      </w:r>
    </w:p>
    <w:p w14:paraId="6E7D1ED2" w14:textId="5B247B03" w:rsidR="007C7FEB" w:rsidRDefault="00F227D2" w:rsidP="00FE5338">
      <w:pPr>
        <w:pStyle w:val="Ttulo1"/>
      </w:pPr>
      <w:bookmarkStart w:id="2" w:name="sec3"/>
      <w:bookmarkEnd w:id="1"/>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3"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3"/>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4" w:name="DSIEqnMarkerStart"/>
      <w:bookmarkStart w:id="5" w:name="DSIEqnMarkerEnd"/>
      <w:bookmarkEnd w:id="4"/>
      <w:bookmarkEnd w:id="5"/>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6"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7" w:name="sec4"/>
      <w:bookmarkEnd w:id="2"/>
      <w:bookmarkEnd w:id="6"/>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w:t>
      </w:r>
      <w:r>
        <w:lastRenderedPageBreak/>
        <w:t>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proofErr w:type="spellStart"/>
      <w:r>
        <w:t>stifness</w:t>
      </w:r>
      <w:proofErr w:type="spellEnd"/>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8"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8"/>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9" w:name="section_spatial"/>
      <w:bookmarkEnd w:id="7"/>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0"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0"/>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proofErr w:type="spellStart"/>
      <w:r w:rsidR="008E7133" w:rsidRPr="008E7133">
        <w:rPr>
          <w:color w:val="FF0000"/>
        </w:rPr>
        <w:t>Maghous</w:t>
      </w:r>
      <w:proofErr w:type="spellEnd"/>
      <w:r w:rsidR="008E7133" w:rsidRPr="008E7133">
        <w:rPr>
          <w:color w:val="FF0000"/>
        </w:rPr>
        <w:t xml:space="preserve"> et al. 2012</w:t>
      </w:r>
      <w:r>
        <w:t xml:space="preserve">, </w:t>
      </w:r>
      <w:r w:rsidR="008E7133" w:rsidRPr="008E7133">
        <w:rPr>
          <w:color w:val="FF0000"/>
        </w:rPr>
        <w:t>Quevedo et al. 2022a</w:t>
      </w:r>
      <w:r>
        <w:t>).</w:t>
      </w:r>
    </w:p>
    <w:p w14:paraId="6E7D1EFD" w14:textId="59519E11" w:rsidR="007C7FE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w:t>
      </w:r>
      <w:r>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1"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1"/>
    <w:p w14:paraId="6E7D1F00" w14:textId="33E55258" w:rsidR="007C7FEB" w:rsidRDefault="00FB7CEE" w:rsidP="00B432B0">
      <w:pPr>
        <w:pStyle w:val="Corpodetexto"/>
      </w:pPr>
      <w:r w:rsidRPr="00FB7CEE">
        <w:rPr>
          <w:highlight w:val="cyan"/>
        </w:rPr>
        <w:t>The mesh density was determined based on a balance between accuracy and computational efficiency. A mesh convergence study was conducted comparing the results, such as stress distributions and displacements, between successive mesh refinements until changes were negligible. The results also were verified with analytical solutions presented in the following section.</w:t>
      </w:r>
      <w:r w:rsidRPr="00FB7CEE">
        <w:t xml:space="preserve"> </w:t>
      </w:r>
      <w:r w:rsidR="0000193A" w:rsidRPr="004B50E3">
        <w:rPr>
          <w:color w:val="4EA72E" w:themeColor="accent6"/>
        </w:rPr>
        <w:t>Figures</w:t>
      </w:r>
      <w:r w:rsidR="004B50E3" w:rsidRPr="004B50E3">
        <w:rPr>
          <w:color w:val="4EA72E" w:themeColor="accent6"/>
        </w:rPr>
        <w:t xml:space="preserve"> 6</w:t>
      </w:r>
      <w:r w:rsidR="004B50E3">
        <w:t xml:space="preserve"> </w:t>
      </w:r>
      <w:r w:rsidR="0000193A">
        <w:t xml:space="preserve">to </w:t>
      </w:r>
      <w:r w:rsidR="004B50E3" w:rsidRPr="004B50E3">
        <w:rPr>
          <w:color w:val="4EA72E" w:themeColor="accent6"/>
        </w:rPr>
        <w:t>10</w:t>
      </w:r>
      <w:r w:rsidR="0000193A">
        <w:t xml:space="preserve"> display some details regarding the geometry and F.E discretization of the structure. </w:t>
      </w:r>
      <w:r w:rsidR="0000193A" w:rsidRPr="004B50E3">
        <w:rPr>
          <w:color w:val="4EA72E" w:themeColor="accent6"/>
        </w:rPr>
        <w:t>Fig.</w:t>
      </w:r>
      <w:r w:rsidR="004B50E3" w:rsidRPr="004B50E3">
        <w:rPr>
          <w:color w:val="4EA72E" w:themeColor="accent6"/>
        </w:rPr>
        <w:t xml:space="preserve"> 6</w:t>
      </w:r>
      <w:r w:rsidR="0000193A">
        <w:t xml:space="preserve"> presents some details of the longitudinal tunnel cross-section in a </w:t>
      </w:r>
      <m:oMath>
        <m:r>
          <w:rPr>
            <w:rFonts w:ascii="Cambria Math" w:hAnsi="Cambria Math"/>
          </w:rPr>
          <m:t>xy</m:t>
        </m:r>
      </m:oMath>
      <w:r w:rsidR="0000193A">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rsidR="0000193A">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2"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2"/>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3"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4" w:name="Mesh4"/>
      <w:bookmarkEnd w:id="13"/>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5" w:name="Mesh5"/>
      <w:bookmarkEnd w:id="14"/>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6" w:name="Mesh6"/>
      <w:r>
        <w:rPr>
          <w:noProof/>
        </w:rPr>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6"/>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126D8E9A" w:rsidR="007C7FEB" w:rsidRDefault="00066D79" w:rsidP="00CD2CFE">
      <w:pPr>
        <w:pStyle w:val="CaptionedFigure"/>
      </w:pPr>
      <w:bookmarkStart w:id="17" w:name="Diagram_of_excavations"/>
      <w:r>
        <w:rPr>
          <w:noProof/>
        </w:rPr>
        <w:lastRenderedPageBreak/>
        <w:drawing>
          <wp:inline distT="0" distB="0" distL="0" distR="0" wp14:anchorId="10046EA8" wp14:editId="26CFC7E8">
            <wp:extent cx="5454856" cy="2561794"/>
            <wp:effectExtent l="0" t="0" r="0" b="0"/>
            <wp:docPr id="22368503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5039" name="Imagem 223685039"/>
                    <pic:cNvPicPr/>
                  </pic:nvPicPr>
                  <pic:blipFill>
                    <a:blip r:embed="rId28"/>
                    <a:stretch>
                      <a:fillRect/>
                    </a:stretch>
                  </pic:blipFill>
                  <pic:spPr>
                    <a:xfrm>
                      <a:off x="0" y="0"/>
                      <a:ext cx="5478689" cy="2572987"/>
                    </a:xfrm>
                    <a:prstGeom prst="rect">
                      <a:avLst/>
                    </a:prstGeom>
                  </pic:spPr>
                </pic:pic>
              </a:graphicData>
            </a:graphic>
          </wp:inline>
        </w:drawing>
      </w:r>
    </w:p>
    <w:p w14:paraId="6E7D1F10" w14:textId="56E4DF0F" w:rsidR="007C7FEB" w:rsidRDefault="002820EE" w:rsidP="00421C12">
      <w:pPr>
        <w:pStyle w:val="ImageCaption"/>
      </w:pPr>
      <w:r w:rsidRPr="00D623B4">
        <w:rPr>
          <w:b/>
          <w:bCs/>
        </w:rPr>
        <w:t>Fig. 11</w:t>
      </w:r>
      <w:r>
        <w:t xml:space="preserve"> Schematic representation of the excavation process.</w:t>
      </w:r>
    </w:p>
    <w:p w14:paraId="6E7D1F11" w14:textId="1D930CEC" w:rsidR="007C7FEB" w:rsidRPr="00743E51" w:rsidRDefault="007E0815" w:rsidP="00743E51">
      <w:pPr>
        <w:pStyle w:val="TableCaption"/>
      </w:pPr>
      <w:bookmarkStart w:id="18" w:name="table1"/>
      <w:bookmarkEnd w:id="17"/>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6E7D1F73" w14:textId="5B415BC4" w:rsidR="007C7FEB" w:rsidRDefault="0000193A" w:rsidP="00917ED8">
      <w:pPr>
        <w:pStyle w:val="Corpodetexto"/>
      </w:pPr>
      <w:r>
        <w:lastRenderedPageBreak/>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19" w:name="sec6"/>
      <w:bookmarkEnd w:id="9"/>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0"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1"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1"/>
    <w:p w14:paraId="6E7D1F7B" w14:textId="232FCA7B" w:rsidR="007C7FEB" w:rsidRDefault="0000193A" w:rsidP="00B432B0">
      <w:pPr>
        <w:pStyle w:val="Corpodetexto"/>
      </w:pPr>
      <w:r>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2"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2"/>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3"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3"/>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4"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4"/>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5"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5"/>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6" w:name="X1e630c712d82c731a6e7d4876a9bab2ff63f484"/>
      <w:bookmarkEnd w:id="20"/>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7"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7"/>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8"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D188AA9" w:rsidR="007C7FEB" w:rsidRDefault="009C4A7E" w:rsidP="00CD2CFE">
      <w:pPr>
        <w:pStyle w:val="CaptionedFigure"/>
      </w:pPr>
      <w:bookmarkStart w:id="29" w:name="MA_FIG1"/>
      <w:r>
        <w:rPr>
          <w:noProof/>
        </w:rPr>
        <w:drawing>
          <wp:inline distT="0" distB="0" distL="0" distR="0" wp14:anchorId="318C70BA" wp14:editId="644441A4">
            <wp:extent cx="5400000" cy="3276782"/>
            <wp:effectExtent l="0" t="0" r="0" b="0"/>
            <wp:docPr id="186196403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036" name="Imagem 18619640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276782"/>
                    </a:xfrm>
                    <a:prstGeom prst="rect">
                      <a:avLst/>
                    </a:prstGeom>
                  </pic:spPr>
                </pic:pic>
              </a:graphicData>
            </a:graphic>
          </wp:inline>
        </w:drawing>
      </w:r>
    </w:p>
    <w:p w14:paraId="6E7D1F94" w14:textId="31B4017B" w:rsidR="007C7FEB" w:rsidRDefault="002820EE" w:rsidP="00421C12">
      <w:pPr>
        <w:pStyle w:val="ImageCaption"/>
      </w:pPr>
      <w:r w:rsidRPr="00D623B4">
        <w:rPr>
          <w:b/>
          <w:bCs/>
        </w:rPr>
        <w:t>Fig. 19</w:t>
      </w:r>
      <w:r>
        <w:t xml:space="preserve"> The plastic zone extent obtained from the present F.E. simulations and from the stress solution provided in Ma et al. 2020</w:t>
      </w:r>
    </w:p>
    <w:bookmarkEnd w:id="29"/>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6150B487" w:rsidR="007C7FEB" w:rsidRDefault="004A44DE" w:rsidP="00CD2CFE">
      <w:pPr>
        <w:pStyle w:val="CaptionedFigure"/>
      </w:pPr>
      <w:bookmarkStart w:id="30" w:name="MA_stresspaths"/>
      <w:r>
        <w:rPr>
          <w:noProof/>
        </w:rPr>
        <w:drawing>
          <wp:inline distT="0" distB="0" distL="0" distR="0" wp14:anchorId="702A7DAD" wp14:editId="7CD79ABB">
            <wp:extent cx="3989762" cy="4109840"/>
            <wp:effectExtent l="0" t="0" r="0" b="5080"/>
            <wp:docPr id="542143166"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3166" name="Imagem 1" descr="Interface gráfica do usuário,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4160" cy="4124672"/>
                    </a:xfrm>
                    <a:prstGeom prst="rect">
                      <a:avLst/>
                    </a:prstGeom>
                  </pic:spPr>
                </pic:pic>
              </a:graphicData>
            </a:graphic>
          </wp:inline>
        </w:drawing>
      </w:r>
    </w:p>
    <w:p w14:paraId="6E7D1F97" w14:textId="1D5A2981" w:rsidR="007C7FEB" w:rsidRDefault="002820EE" w:rsidP="00421C12">
      <w:pPr>
        <w:pStyle w:val="ImageCaption"/>
      </w:pPr>
      <w:r w:rsidRPr="00D623B4">
        <w:rPr>
          <w:b/>
          <w:bCs/>
        </w:rPr>
        <w:t>Fig. 20</w:t>
      </w:r>
      <w:r>
        <w:t xml:space="preserve"> Distribution of radial and orthoradial stress components along different radial directions: comparison between numerical and analytical predictions.</w:t>
      </w:r>
    </w:p>
    <w:p w14:paraId="6E7D1F98" w14:textId="46E2860E" w:rsidR="007C7FEB" w:rsidRDefault="00F227D2" w:rsidP="00FE5338">
      <w:pPr>
        <w:pStyle w:val="Ttulo1"/>
      </w:pPr>
      <w:bookmarkStart w:id="31" w:name="sec7"/>
      <w:bookmarkEnd w:id="19"/>
      <w:bookmarkEnd w:id="26"/>
      <w:bookmarkEnd w:id="30"/>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2"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w:t>
      </w:r>
      <w:r>
        <w:lastRenderedPageBreak/>
        <w:t xml:space="preserve">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3"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t>Shrinkage coefficient depending on cement type (</w:t>
            </w:r>
            <w:r w:rsidRPr="006D0164">
              <w:rPr>
                <w:color w:val="FF0000"/>
              </w:rPr>
              <w:t>1993</w:t>
            </w:r>
            <w:r>
              <w:t>)</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3"/>
    <w:p w14:paraId="6E7D200B" w14:textId="2E28CAC2" w:rsidR="007C7FEB" w:rsidRDefault="0000193A" w:rsidP="00B432B0">
      <w:pPr>
        <w:pStyle w:val="Corpodetexto"/>
      </w:pPr>
      <w:r>
        <w:lastRenderedPageBreak/>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4"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4"/>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5" w:name="Ovalization_effect_and_monitoring_point"/>
      <w:r>
        <w:rPr>
          <w:noProof/>
        </w:rPr>
        <w:lastRenderedPageBreak/>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5"/>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6"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7" w:name="sec72"/>
      <w:bookmarkEnd w:id="32"/>
      <w:bookmarkEnd w:id="36"/>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8" w:name="WG-ST-LT-D1-16RI"/>
      <w:r>
        <w:rPr>
          <w:noProof/>
        </w:rPr>
        <w:lastRenderedPageBreak/>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39" w:name="WG-ST-LT-D1-8RI"/>
      <w:bookmarkEnd w:id="38"/>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0" w:name="WG-ST-LT-D1-4RI"/>
      <w:bookmarkEnd w:id="39"/>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0"/>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1"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2"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3" w:name="sec73"/>
      <w:bookmarkEnd w:id="37"/>
      <w:bookmarkEnd w:id="42"/>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4"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4"/>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5"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6" w:name="X680f3184f6af5bfe904e031a77b2a37d152ddac"/>
      <w:bookmarkEnd w:id="43"/>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7"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8" w:name="EP_d1_4Ri"/>
      <w:bookmarkEnd w:id="47"/>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8"/>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49"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0" w:name="EPVP_VEL_d1_4Ri"/>
      <w:bookmarkEnd w:id="49"/>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0"/>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1"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2" w:name="EPVP_EL_VEL_d1_4Ri"/>
      <w:bookmarkEnd w:id="51"/>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2"/>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3" w:name="conclusions"/>
      <w:bookmarkEnd w:id="31"/>
      <w:bookmarkEnd w:id="46"/>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have mainly concerned the situation of deep circular tunnels, the constitutive and related computational model can in its current version be readily applied to analyze more complex </w:t>
      </w:r>
      <w:proofErr w:type="gramStart"/>
      <w:r>
        <w:t>configuration</w:t>
      </w:r>
      <w:proofErr w:type="gramEnd"/>
      <w:r>
        <w:t xml:space="preserve">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3"/>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6A86F7AF" w14:textId="56D8D42F" w:rsidR="00FB7CEE" w:rsidRDefault="00FB7CEE" w:rsidP="00FB7CEE">
      <w:pPr>
        <w:pStyle w:val="Bibliografia"/>
      </w:pPr>
      <w:r w:rsidRPr="00FB7CEE">
        <w:rPr>
          <w:highlight w:val="cyan"/>
        </w:rPr>
        <w:lastRenderedPageBreak/>
        <w:t xml:space="preserve">Chen J, Zeng B, Xu W, Hu S, Wang S, Wang K, Zhang W, Wu S, Song Z (2025) </w:t>
      </w:r>
      <w:r w:rsidRPr="00FB7CEE">
        <w:rPr>
          <w:highlight w:val="cyan"/>
        </w:rPr>
        <w:t xml:space="preserve">Mechanical </w:t>
      </w:r>
      <w:proofErr w:type="spellStart"/>
      <w:r w:rsidRPr="00FB7CEE">
        <w:rPr>
          <w:highlight w:val="cyan"/>
        </w:rPr>
        <w:t>behaviour</w:t>
      </w:r>
      <w:proofErr w:type="spellEnd"/>
      <w:r w:rsidRPr="00FB7CEE">
        <w:rPr>
          <w:highlight w:val="cyan"/>
        </w:rPr>
        <w:t xml:space="preserve"> and damage constitutive model of semi-circular arch tunnels with straight walls under soaking conditions</w:t>
      </w:r>
      <w:r w:rsidRPr="00FB7CEE">
        <w:rPr>
          <w:highlight w:val="cyan"/>
        </w:rPr>
        <w:t xml:space="preserve">. Engineering Failure Analysis 169:109137. </w:t>
      </w:r>
      <w:hyperlink r:id="rId83" w:tgtFrame="_blank" w:tooltip="Persistent link using digital object identifier" w:history="1">
        <w:r w:rsidRPr="00FB7CEE">
          <w:rPr>
            <w:rStyle w:val="Hyperlink"/>
            <w:highlight w:val="cyan"/>
          </w:rPr>
          <w:t>https://doi.org/10.1016/j.engfailanal.2024.109137</w:t>
        </w:r>
      </w:hyperlink>
    </w:p>
    <w:p w14:paraId="0D1105BF" w14:textId="4536C774" w:rsidR="00637D57" w:rsidRPr="00637D57" w:rsidRDefault="00637D57" w:rsidP="005733E1">
      <w:pPr>
        <w:pStyle w:val="Bibliografia"/>
      </w:pPr>
      <w:r w:rsidRPr="00637D57">
        <w:t>Chen SL, Lee SC, Gui MW (2009) Effects of rock pillar width on the excavation behavior of parallel tunnels. Tunnelling and Underground Space Technology 24</w:t>
      </w:r>
      <w:r w:rsidR="00E96A11">
        <w:t>(12)</w:t>
      </w:r>
      <w:r w:rsidRPr="00637D57">
        <w:t xml:space="preserve">:148–154. </w:t>
      </w:r>
      <w:hyperlink r:id="rId84"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5"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6"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7"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8"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9"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90"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1"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2"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3"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w:t>
      </w:r>
      <w:r w:rsidRPr="00637D57">
        <w:lastRenderedPageBreak/>
        <w:t xml:space="preserve">Tunnelling and Underground Space Technology 49:454–469. </w:t>
      </w:r>
      <w:hyperlink r:id="rId94"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5"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6"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7"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8"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9"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100"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1"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2"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3"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4"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5"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6"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7"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8"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9"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10"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1"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2"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3"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 xml:space="preserve">Quevedo FPM (2021) Análise computacional das deformações em túneis profundos considerando o acoplamento plasticidade-viscoplasticidade.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4"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5"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6"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7"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8"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9"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20"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1"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2"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3"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4"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4" w:name="data-availability"/>
      <w:r>
        <w:br w:type="page"/>
      </w:r>
    </w:p>
    <w:p w14:paraId="653DEB85" w14:textId="60C8752F" w:rsidR="008F4BA3" w:rsidRDefault="00AE768F" w:rsidP="008F4BA3">
      <w:pPr>
        <w:pStyle w:val="Ttulo1"/>
      </w:pPr>
      <w:r>
        <w:lastRenderedPageBreak/>
        <w:t>Statements &amp; Declarations</w:t>
      </w:r>
    </w:p>
    <w:bookmarkEnd w:id="54"/>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80D30" w14:textId="77777777" w:rsidR="00A31225" w:rsidRDefault="00A31225">
      <w:pPr>
        <w:spacing w:after="0"/>
      </w:pPr>
      <w:r>
        <w:separator/>
      </w:r>
    </w:p>
  </w:endnote>
  <w:endnote w:type="continuationSeparator" w:id="0">
    <w:p w14:paraId="5419E48D" w14:textId="77777777" w:rsidR="00A31225" w:rsidRDefault="00A312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716754" w14:textId="77777777" w:rsidR="00A31225" w:rsidRDefault="00A31225">
      <w:pPr>
        <w:spacing w:after="0"/>
      </w:pPr>
      <w:r>
        <w:separator/>
      </w:r>
    </w:p>
  </w:footnote>
  <w:footnote w:type="continuationSeparator" w:id="0">
    <w:p w14:paraId="198F0BF4" w14:textId="77777777" w:rsidR="00A31225" w:rsidRDefault="00A31225">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D7F70"/>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17E6"/>
    <w:rsid w:val="005C308B"/>
    <w:rsid w:val="005C6F21"/>
    <w:rsid w:val="005E057A"/>
    <w:rsid w:val="005F0D04"/>
    <w:rsid w:val="00617509"/>
    <w:rsid w:val="00623063"/>
    <w:rsid w:val="00623A16"/>
    <w:rsid w:val="00634A93"/>
    <w:rsid w:val="00637D57"/>
    <w:rsid w:val="0064598E"/>
    <w:rsid w:val="00646E95"/>
    <w:rsid w:val="0064740D"/>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13F92"/>
    <w:rsid w:val="00917ED8"/>
    <w:rsid w:val="00927498"/>
    <w:rsid w:val="00952632"/>
    <w:rsid w:val="00973BA3"/>
    <w:rsid w:val="009761E1"/>
    <w:rsid w:val="00980E83"/>
    <w:rsid w:val="009910B3"/>
    <w:rsid w:val="00991CEE"/>
    <w:rsid w:val="0099381E"/>
    <w:rsid w:val="009957FE"/>
    <w:rsid w:val="009A0A18"/>
    <w:rsid w:val="009A39E1"/>
    <w:rsid w:val="009C4A7E"/>
    <w:rsid w:val="009F6E27"/>
    <w:rsid w:val="00A00532"/>
    <w:rsid w:val="00A115A8"/>
    <w:rsid w:val="00A23D27"/>
    <w:rsid w:val="00A31225"/>
    <w:rsid w:val="00A376F2"/>
    <w:rsid w:val="00A527AC"/>
    <w:rsid w:val="00A53F58"/>
    <w:rsid w:val="00A5763B"/>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C30EF"/>
    <w:rsid w:val="00DC6B58"/>
    <w:rsid w:val="00DE5757"/>
    <w:rsid w:val="00E0528E"/>
    <w:rsid w:val="00E07388"/>
    <w:rsid w:val="00E171EB"/>
    <w:rsid w:val="00E22EA1"/>
    <w:rsid w:val="00E40D41"/>
    <w:rsid w:val="00E42A2B"/>
    <w:rsid w:val="00E60171"/>
    <w:rsid w:val="00E7083C"/>
    <w:rsid w:val="00E82BBE"/>
    <w:rsid w:val="00E83A11"/>
    <w:rsid w:val="00E96A11"/>
    <w:rsid w:val="00EA747C"/>
    <w:rsid w:val="00EA7A84"/>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B7CEE"/>
    <w:rsid w:val="00FC313C"/>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590/S1983-41952018000400005"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16/j.tust.2008.05.006" TargetMode="External"/><Relationship Id="rId89" Type="http://schemas.openxmlformats.org/officeDocument/2006/relationships/hyperlink" Target="https://doi.org/10.1016/j.tust.2022.104734" TargetMode="External"/><Relationship Id="rId112" Type="http://schemas.openxmlformats.org/officeDocument/2006/relationships/hyperlink" Target="https://doi.org/10.1002/nag.1610160906" TargetMode="External"/><Relationship Id="rId16" Type="http://schemas.openxmlformats.org/officeDocument/2006/relationships/image" Target="media/image5.png"/><Relationship Id="rId107" Type="http://schemas.openxmlformats.org/officeDocument/2006/relationships/hyperlink" Target="https://doi.org/10.1002/nag.595"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16/j.tust.2016.02.016" TargetMode="External"/><Relationship Id="rId123" Type="http://schemas.openxmlformats.org/officeDocument/2006/relationships/hyperlink" Target="https://doi.org/10.1016/j.compgeo.2015.01.008" TargetMode="External"/><Relationship Id="rId5" Type="http://schemas.openxmlformats.org/officeDocument/2006/relationships/webSettings" Target="webSettings.xml"/><Relationship Id="rId90" Type="http://schemas.openxmlformats.org/officeDocument/2006/relationships/hyperlink" Target="https://doi.org/10.1007/s12665-014-3561-6" TargetMode="External"/><Relationship Id="rId95" Type="http://schemas.openxmlformats.org/officeDocument/2006/relationships/hyperlink" Target="https://doi.org/10.1007/s42947-021-00034-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s://lume.ufrgs.br/handle/10183/163886" TargetMode="External"/><Relationship Id="rId118" Type="http://schemas.openxmlformats.org/officeDocument/2006/relationships/hyperlink" Target="https://doi.org/10.1061/(ASCE)CO.1943-7862.0001496"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0-01587-w"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63/1.1697875" TargetMode="External"/><Relationship Id="rId108" Type="http://schemas.openxmlformats.org/officeDocument/2006/relationships/hyperlink" Target="https://doi.org/10.1139/t04-008" TargetMode="External"/><Relationship Id="rId124" Type="http://schemas.openxmlformats.org/officeDocument/2006/relationships/hyperlink" Target="https://doi.org/10.1002/nme.1620080411" TargetMode="Externa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engstruct.2015.11.053" TargetMode="External"/><Relationship Id="rId96" Type="http://schemas.openxmlformats.org/officeDocument/2006/relationships/hyperlink" Target="https://theses.fr/1993ENPC931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hyperlink" Target="http://hdl.handle.net/10183/239617" TargetMode="External"/><Relationship Id="rId119" Type="http://schemas.openxmlformats.org/officeDocument/2006/relationships/hyperlink" Target="https://doi.org/10.1016/j.tust.2015.08.005"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07/s10706-021-01845-5"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28927/SR.2022.077221"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16/0013-7952(95)00000-3" TargetMode="External"/><Relationship Id="rId104" Type="http://schemas.openxmlformats.org/officeDocument/2006/relationships/hyperlink" Target="https://doi.org/10.1007/s12205-017-2128-y" TargetMode="External"/><Relationship Id="rId120" Type="http://schemas.openxmlformats.org/officeDocument/2006/relationships/hyperlink" Target="https://doi.org/10.1007/s10706-014-9727-x"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4.02.001"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16/j.jrmge.2015.11.003" TargetMode="External"/><Relationship Id="rId110" Type="http://schemas.openxmlformats.org/officeDocument/2006/relationships/hyperlink" Target="https://doi.org/10.1016/j.undsp.2022.12.005" TargetMode="External"/><Relationship Id="rId115" Type="http://schemas.openxmlformats.org/officeDocument/2006/relationships/hyperlink" Target="https://doi.org/10.1061/(ASCE)GM.1943-5622.000228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16/j.tust.2020.103614" TargetMode="External"/><Relationship Id="rId105" Type="http://schemas.openxmlformats.org/officeDocument/2006/relationships/hyperlink" Target="https://doi.org/10.1016/j.ijrmms.2020.104475" TargetMode="External"/><Relationship Id="rId126" Type="http://schemas.openxmlformats.org/officeDocument/2006/relationships/theme" Target="theme/theme1.xm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10.037" TargetMode="External"/><Relationship Id="rId98" Type="http://schemas.openxmlformats.org/officeDocument/2006/relationships/hyperlink" Target="https://doi.org/10.1007/s10706-021-01756-5" TargetMode="External"/><Relationship Id="rId121" Type="http://schemas.openxmlformats.org/officeDocument/2006/relationships/hyperlink" Target="https://doi.org/10.1139/cgj-2017-0392"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061/(ASCE)GM.1943-5622.0002512"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engfailanal.2024.109137" TargetMode="External"/><Relationship Id="rId88" Type="http://schemas.openxmlformats.org/officeDocument/2006/relationships/hyperlink" Target="https://doi.org/10.1061/(ASCE)0733-9399(2002)128:8(848)" TargetMode="External"/><Relationship Id="rId111" Type="http://schemas.openxmlformats.org/officeDocument/2006/relationships/hyperlink" Target="https://theses.hal.science/tel-00523616/fr/"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16/j.tust.2012.04.008"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16/j.tust.2015.06.003" TargetMode="External"/><Relationship Id="rId99" Type="http://schemas.openxmlformats.org/officeDocument/2006/relationships/hyperlink" Target="https://doi.org/10.1016/j.tust.2008.01.003" TargetMode="External"/><Relationship Id="rId101" Type="http://schemas.openxmlformats.org/officeDocument/2006/relationships/hyperlink" Target="https://doi.org/10.1007/s10064-006-0056-z" TargetMode="External"/><Relationship Id="rId122" Type="http://schemas.openxmlformats.org/officeDocument/2006/relationships/hyperlink" Target="https://doi.org/10.1680/jgeot.16.P.099"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40</Pages>
  <Words>15536</Words>
  <Characters>83895</Characters>
  <Application>Microsoft Office Word</Application>
  <DocSecurity>0</DocSecurity>
  <Lines>699</Lines>
  <Paragraphs>198</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118</cp:revision>
  <cp:lastPrinted>2024-09-30T13:58:00Z</cp:lastPrinted>
  <dcterms:created xsi:type="dcterms:W3CDTF">2024-09-30T13:22:00Z</dcterms:created>
  <dcterms:modified xsi:type="dcterms:W3CDTF">2025-02-11T22:27:00Z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